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8" w:rsidRDefault="00F6045B" w:rsidP="00091C6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</w:t>
      </w:r>
      <w:r w:rsidR="00BB3598">
        <w:rPr>
          <w:rFonts w:ascii="標楷體" w:eastAsia="標楷體" w:hAnsi="標楷體" w:hint="eastAsia"/>
          <w:sz w:val="28"/>
          <w:szCs w:val="28"/>
        </w:rPr>
        <w:t>學年度</w:t>
      </w:r>
    </w:p>
    <w:p w:rsidR="002529EB" w:rsidRDefault="00BB3598" w:rsidP="00091C6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091C6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091C6F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38734A">
        <w:rPr>
          <w:rFonts w:ascii="標楷體" w:eastAsia="標楷體" w:hAnsi="標楷體" w:hint="eastAsia"/>
          <w:sz w:val="28"/>
          <w:szCs w:val="28"/>
        </w:rPr>
        <w:t>西嶺國小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</w:t>
      </w:r>
      <w:r w:rsidR="0038734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80EDC">
        <w:rPr>
          <w:rFonts w:ascii="標楷體" w:eastAsia="標楷體" w:hAnsi="標楷體" w:hint="eastAsia"/>
          <w:sz w:val="28"/>
          <w:szCs w:val="28"/>
        </w:rPr>
        <w:t>全校人數：</w:t>
      </w:r>
      <w:r w:rsidR="0038734A">
        <w:rPr>
          <w:rFonts w:ascii="標楷體" w:eastAsia="標楷體" w:hAnsi="標楷體" w:hint="eastAsia"/>
          <w:sz w:val="28"/>
          <w:szCs w:val="28"/>
        </w:rPr>
        <w:t>41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人 </w:t>
      </w:r>
      <w:r w:rsidR="0038734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受益人數：</w:t>
      </w:r>
      <w:r w:rsidR="0038734A">
        <w:rPr>
          <w:rFonts w:ascii="標楷體" w:eastAsia="標楷體" w:hAnsi="標楷體" w:hint="eastAsia"/>
          <w:sz w:val="28"/>
          <w:szCs w:val="28"/>
        </w:rPr>
        <w:t>41</w:t>
      </w:r>
      <w:r w:rsidR="00080EDC">
        <w:rPr>
          <w:rFonts w:ascii="標楷體" w:eastAsia="標楷體" w:hAnsi="標楷體" w:hint="eastAsia"/>
          <w:sz w:val="28"/>
          <w:szCs w:val="28"/>
        </w:rPr>
        <w:t>人</w:t>
      </w:r>
    </w:p>
    <w:p w:rsidR="00296A09" w:rsidRPr="00296A09" w:rsidRDefault="00296A09" w:rsidP="00091C6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 w:rsidR="0038734A">
        <w:rPr>
          <w:rFonts w:ascii="標楷體" w:eastAsia="標楷體" w:hAnsi="標楷體" w:hint="eastAsia"/>
          <w:sz w:val="28"/>
          <w:szCs w:val="28"/>
        </w:rPr>
        <w:t>22,000</w:t>
      </w:r>
      <w:r>
        <w:rPr>
          <w:rFonts w:ascii="標楷體" w:eastAsia="標楷體" w:hAnsi="標楷體" w:hint="eastAsia"/>
          <w:sz w:val="28"/>
          <w:szCs w:val="28"/>
        </w:rPr>
        <w:t>元（經常門：</w:t>
      </w:r>
      <w:r w:rsidR="0038734A">
        <w:rPr>
          <w:rFonts w:ascii="標楷體" w:eastAsia="標楷體" w:hAnsi="標楷體" w:hint="eastAsia"/>
          <w:sz w:val="28"/>
          <w:szCs w:val="28"/>
        </w:rPr>
        <w:t>22,000</w:t>
      </w:r>
      <w:r>
        <w:rPr>
          <w:rFonts w:ascii="標楷體" w:eastAsia="標楷體" w:hAnsi="標楷體" w:hint="eastAsia"/>
          <w:sz w:val="28"/>
          <w:szCs w:val="28"/>
        </w:rPr>
        <w:t xml:space="preserve">元 </w:t>
      </w:r>
      <w:r w:rsidR="0038734A">
        <w:rPr>
          <w:rFonts w:ascii="標楷體" w:eastAsia="標楷體" w:hAnsi="標楷體" w:hint="eastAsia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資本門：</w:t>
      </w:r>
      <w:r w:rsidR="0038734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C26124" w:rsidP="0099663D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英聽設備為主</w:t>
      </w:r>
    </w:p>
    <w:p w:rsidR="00296A09" w:rsidRDefault="00296A09" w:rsidP="0099663D">
      <w:pPr>
        <w:spacing w:line="42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296A09" w:rsidP="0099663D">
      <w:pPr>
        <w:spacing w:line="42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99663D">
      <w:pPr>
        <w:spacing w:line="42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99663D">
      <w:pPr>
        <w:spacing w:line="42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99663D">
      <w:pPr>
        <w:spacing w:line="42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99663D">
      <w:pPr>
        <w:spacing w:line="42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03B5B"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</w:t>
      </w:r>
      <w:r w:rsidR="00D03B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「浸潤式英語活動-繪本說故事」並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鼓勵學生參加寒暑假英語營活動。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D03B5B" w:rsidRPr="00D03B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03B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D03B5B" w:rsidRPr="00D543D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每週規劃「每週一句」英語俗諺，於校園中布置供學生學習。</w:t>
      </w:r>
    </w:p>
    <w:p w:rsidR="00696E2E" w:rsidRDefault="00696E2E" w:rsidP="00EB1FDA">
      <w:pPr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03B5B"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強化英語教師多元評量專業能力，每學期的定期評量中皆加考聽力。</w:t>
      </w:r>
    </w:p>
    <w:p w:rsidR="00D03B5B" w:rsidRPr="00EB1FDA" w:rsidRDefault="00D03B5B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(四) </w:t>
      </w:r>
      <w:r w:rsidRPr="00D543D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強化學校課程本位管理，善用彈性學習節數補強英語學習時間與機會。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D03B5B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03B5B" w:rsidRPr="00D03B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03B5B" w:rsidRPr="00D543D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每週</w:t>
      </w:r>
      <w:r w:rsidR="00D03B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四晨光時間</w:t>
      </w:r>
      <w:r w:rsidR="00D03B5B" w:rsidRPr="00D543D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規劃「每週一句」英語俗諺供學生學習。</w:t>
      </w:r>
      <w:r w:rsidR="00D03B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納入學習護照教材，獎勵制度也納入學習護照學期末獎勵。</w:t>
      </w:r>
    </w:p>
    <w:p w:rsidR="001B0125" w:rsidRDefault="00DB2C0B" w:rsidP="00D03B5B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D03B5B"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邀請校友及財團法人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辦理英語體驗活動及鼓勵學生參加寒暑假英語營</w:t>
      </w:r>
      <w:r w:rsidR="00D03B5B" w:rsidRPr="00D03B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696E2E" w:rsidRDefault="00696E2E" w:rsidP="00D03B5B">
      <w:pPr>
        <w:spacing w:line="480" w:lineRule="exact"/>
        <w:ind w:left="708" w:hangingChars="253" w:hanging="70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03B5B"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強化英語教師多元評量專業能力，</w:t>
      </w:r>
      <w:r w:rsid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三至六年級第二次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定期評量中皆加考聽力。</w:t>
      </w:r>
    </w:p>
    <w:p w:rsidR="00D03B5B" w:rsidRDefault="00D03B5B" w:rsidP="00D03B5B">
      <w:pPr>
        <w:spacing w:line="480" w:lineRule="exact"/>
        <w:ind w:left="708" w:hangingChars="253" w:hanging="70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</w:t>
      </w:r>
      <w:r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9F51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辦理補救教學活動，全校納入補救教學測驗，針對低成就學生進行補救教學，弭平學習雙峰現象。</w:t>
      </w:r>
    </w:p>
    <w:p w:rsidR="00D03B5B" w:rsidRPr="00EB1FDA" w:rsidRDefault="00D03B5B" w:rsidP="00D03B5B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(五)</w:t>
      </w:r>
      <w:r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717C1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利用</w:t>
      </w:r>
      <w:r w:rsidRPr="00717C13">
        <w:rPr>
          <w:rFonts w:ascii="標楷體" w:eastAsia="標楷體" w:hAnsi="標楷體" w:hint="eastAsia"/>
          <w:b/>
          <w:kern w:val="0"/>
          <w:sz w:val="28"/>
          <w:szCs w:val="28"/>
        </w:rPr>
        <w:t>教學電視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盒</w:t>
      </w:r>
      <w:r>
        <w:rPr>
          <w:rFonts w:ascii="標楷體" w:eastAsia="標楷體" w:hAnsi="標楷體" w:hint="eastAsia"/>
          <w:kern w:val="0"/>
          <w:sz w:val="28"/>
          <w:szCs w:val="28"/>
        </w:rPr>
        <w:t>於英語教學，方便教師運用網路資訊融入教學，提升學生學習英語興趣。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99663D">
      <w:pPr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03B5B"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A31D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運</w:t>
      </w:r>
      <w:r w:rsidR="00A31DEC" w:rsidRPr="00717C13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用</w:t>
      </w:r>
      <w:r w:rsidR="00A31DEC" w:rsidRPr="00717C13">
        <w:rPr>
          <w:rFonts w:ascii="標楷體" w:eastAsia="標楷體" w:hAnsi="標楷體" w:hint="eastAsia"/>
          <w:b/>
          <w:kern w:val="0"/>
          <w:sz w:val="28"/>
          <w:szCs w:val="28"/>
        </w:rPr>
        <w:t>教學電視</w:t>
      </w:r>
      <w:r w:rsidR="00A31DEC">
        <w:rPr>
          <w:rFonts w:ascii="標楷體" w:eastAsia="標楷體" w:hAnsi="標楷體" w:hint="eastAsia"/>
          <w:b/>
          <w:kern w:val="0"/>
          <w:sz w:val="28"/>
          <w:szCs w:val="28"/>
        </w:rPr>
        <w:t>盒</w:t>
      </w:r>
      <w:r w:rsidR="00A31DEC">
        <w:rPr>
          <w:rFonts w:ascii="標楷體" w:eastAsia="標楷體" w:hAnsi="標楷體" w:hint="eastAsia"/>
          <w:kern w:val="0"/>
          <w:sz w:val="28"/>
          <w:szCs w:val="28"/>
        </w:rPr>
        <w:t>於英語教學，方便教師運用網路資訊融入教學，提升學生學習英語興趣。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1B0125" w:rsidRDefault="001B21C6" w:rsidP="0099663D">
      <w:pPr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03B5B" w:rsidRPr="00D03B5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A63F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運用</w:t>
      </w:r>
      <w:r w:rsidR="00A63FE0" w:rsidRPr="001E4FB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耳罩式耳機</w:t>
      </w:r>
      <w:r w:rsidR="00A63F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於英聽教學及測驗</w:t>
      </w:r>
      <w:r w:rsidR="00A31DEC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A31D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三至六年級第二次</w:t>
      </w:r>
      <w:r w:rsidR="00A31DEC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定期評量中皆加考聽力</w:t>
      </w:r>
      <w:r w:rsidR="00A63F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，提升學生英聽能力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696E2E" w:rsidRDefault="00696E2E" w:rsidP="0099663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E4FB3">
        <w:rPr>
          <w:rFonts w:ascii="標楷體" w:eastAsia="標楷體" w:hAnsi="標楷體" w:hint="eastAsia"/>
          <w:sz w:val="28"/>
          <w:szCs w:val="28"/>
        </w:rPr>
        <w:t xml:space="preserve"> </w:t>
      </w:r>
      <w:r w:rsidR="00A31D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運用</w:t>
      </w:r>
      <w:r w:rsidR="00A31DEC" w:rsidRPr="001E4FB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藍芽擴音器</w:t>
      </w:r>
      <w:r w:rsidR="00A31D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於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英語學習活動</w:t>
      </w:r>
      <w:r w:rsidR="00A63F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</w:t>
      </w:r>
      <w:r w:rsidR="00A63FE0" w:rsidRPr="009F51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補救教學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A63F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提升</w:t>
      </w:r>
      <w:r w:rsidR="001E4FB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</w:t>
      </w:r>
      <w:r w:rsidR="00D03B5B" w:rsidRPr="00D543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學習成效。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五、問題檢討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B8073E">
        <w:rPr>
          <w:rFonts w:ascii="標楷體" w:eastAsia="標楷體" w:hAnsi="標楷體" w:hint="eastAsia"/>
          <w:sz w:val="28"/>
          <w:szCs w:val="28"/>
        </w:rPr>
        <w:t xml:space="preserve"> </w:t>
      </w:r>
      <w:r w:rsidR="00D03B5B">
        <w:rPr>
          <w:rFonts w:ascii="標楷體" w:eastAsia="標楷體" w:hAnsi="標楷體" w:hint="eastAsia"/>
          <w:sz w:val="28"/>
          <w:szCs w:val="28"/>
        </w:rPr>
        <w:t>學生英語程度落差很大，</w:t>
      </w:r>
      <w:r w:rsidR="001E4FB3">
        <w:rPr>
          <w:rFonts w:ascii="標楷體" w:eastAsia="標楷體" w:hAnsi="標楷體" w:hint="eastAsia"/>
          <w:sz w:val="28"/>
          <w:szCs w:val="28"/>
        </w:rPr>
        <w:t>還要繼續努力提升學生學習興趣。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8073E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6B" w:rsidRPr="001E4FB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耳罩式耳機</w:t>
      </w:r>
      <w:r w:rsidR="000A276B" w:rsidRPr="000A276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容易損壞，需要學生小心使用</w:t>
      </w:r>
      <w:r w:rsidR="000A276B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，放置夾鏈袋並編號</w:t>
      </w:r>
      <w:r w:rsidR="000A276B" w:rsidRPr="000A276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B81860" w:rsidRPr="00EB1FDA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A276B">
        <w:rPr>
          <w:rFonts w:ascii="標楷體" w:eastAsia="標楷體" w:hAnsi="標楷體" w:hint="eastAsia"/>
          <w:sz w:val="28"/>
          <w:szCs w:val="28"/>
        </w:rPr>
        <w:t xml:space="preserve"> </w:t>
      </w:r>
      <w:r w:rsidR="000A276B" w:rsidRPr="001E4FB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藍芽擴音器</w:t>
      </w:r>
      <w:r w:rsidR="000A276B" w:rsidRPr="000A276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塑膠材質不耐摔，必須小心輕放，愛惜使用。</w:t>
      </w: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99663D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13591" cy="1810346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358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39" cy="180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99663D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67118" cy="177563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135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03" cy="17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E96CDE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藍芽擴音器運用於英聽撥放與解說</w:t>
            </w:r>
          </w:p>
        </w:tc>
        <w:tc>
          <w:tcPr>
            <w:tcW w:w="4182" w:type="dxa"/>
            <w:vAlign w:val="center"/>
          </w:tcPr>
          <w:p w:rsidR="00AE6DC2" w:rsidRPr="00CC6D8E" w:rsidRDefault="00E96CDE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藍芽擴音器運用於</w:t>
            </w:r>
            <w:r>
              <w:rPr>
                <w:rFonts w:ascii="標楷體" w:eastAsia="標楷體" w:hAnsi="標楷體" w:hint="eastAsia"/>
              </w:rPr>
              <w:t>教學情形</w:t>
            </w:r>
          </w:p>
        </w:tc>
      </w:tr>
      <w:tr w:rsidR="00AE6DC2" w:rsidRPr="00CC6D8E" w:rsidTr="0099663D">
        <w:trPr>
          <w:trHeight w:val="2445"/>
        </w:trPr>
        <w:tc>
          <w:tcPr>
            <w:tcW w:w="4181" w:type="dxa"/>
            <w:vAlign w:val="center"/>
          </w:tcPr>
          <w:p w:rsidR="00AE6DC2" w:rsidRPr="00CC6D8E" w:rsidRDefault="0099663D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376CE2" wp14:editId="7D58DF8F">
                  <wp:extent cx="1127051" cy="154603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356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060" cy="154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99663D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5855966" wp14:editId="77C37FD5">
                  <wp:extent cx="2094614" cy="1571225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1355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362" cy="157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CA387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教學視訊電視盒運用於英聽教學</w:t>
            </w:r>
          </w:p>
        </w:tc>
        <w:tc>
          <w:tcPr>
            <w:tcW w:w="4182" w:type="dxa"/>
            <w:vAlign w:val="center"/>
          </w:tcPr>
          <w:p w:rsidR="00AE6DC2" w:rsidRPr="00CC6D8E" w:rsidRDefault="00CA3871" w:rsidP="00CC6D8E">
            <w:pPr>
              <w:jc w:val="center"/>
              <w:rPr>
                <w:rFonts w:ascii="標楷體" w:eastAsia="標楷體" w:hAnsi="標楷體"/>
              </w:rPr>
            </w:pPr>
            <w:r w:rsidRPr="00CA3871">
              <w:rPr>
                <w:rFonts w:ascii="標楷體" w:eastAsia="標楷體" w:hAnsi="標楷體" w:hint="eastAsia"/>
              </w:rPr>
              <w:t>教師運用網路資訊融入教學</w:t>
            </w:r>
            <w:bookmarkStart w:id="0" w:name="_GoBack"/>
            <w:bookmarkEnd w:id="0"/>
          </w:p>
        </w:tc>
      </w:tr>
      <w:tr w:rsidR="00CD0355" w:rsidRPr="00CC6D8E" w:rsidTr="0099663D">
        <w:trPr>
          <w:trHeight w:val="813"/>
        </w:trPr>
        <w:tc>
          <w:tcPr>
            <w:tcW w:w="4181" w:type="dxa"/>
          </w:tcPr>
          <w:p w:rsidR="00CD0355" w:rsidRPr="00CC6D8E" w:rsidRDefault="0099663D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72745A" wp14:editId="2CE69A15">
                  <wp:extent cx="2052084" cy="1539192"/>
                  <wp:effectExtent l="0" t="0" r="571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3593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40" cy="153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99663D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5B1D4FF" wp14:editId="32450B69">
                  <wp:extent cx="2083981" cy="1563248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3481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087" cy="156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C6D8E" w:rsidTr="002E5CC4">
        <w:tc>
          <w:tcPr>
            <w:tcW w:w="4181" w:type="dxa"/>
          </w:tcPr>
          <w:p w:rsidR="006A261B" w:rsidRPr="00CC6D8E" w:rsidRDefault="00CA387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耳罩式耳機</w:t>
            </w:r>
            <w:r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</w:rPr>
              <w:t>英聽教學</w:t>
            </w:r>
          </w:p>
        </w:tc>
        <w:tc>
          <w:tcPr>
            <w:tcW w:w="4182" w:type="dxa"/>
          </w:tcPr>
          <w:p w:rsidR="006A261B" w:rsidRPr="00CC6D8E" w:rsidRDefault="00E96CDE" w:rsidP="00CC6D8E">
            <w:pPr>
              <w:jc w:val="center"/>
              <w:rPr>
                <w:rFonts w:ascii="標楷體" w:eastAsia="標楷體" w:hAnsi="標楷體"/>
              </w:rPr>
            </w:pPr>
            <w:r w:rsidRPr="00E96CDE">
              <w:rPr>
                <w:rFonts w:ascii="標楷體" w:eastAsia="標楷體" w:hAnsi="標楷體" w:hint="eastAsia"/>
              </w:rPr>
              <w:t>浸潤式英語活動-繪本說故事</w:t>
            </w:r>
          </w:p>
        </w:tc>
      </w:tr>
      <w:tr w:rsidR="006A261B" w:rsidRPr="00CC6D8E" w:rsidTr="0099663D">
        <w:trPr>
          <w:trHeight w:val="2265"/>
        </w:trPr>
        <w:tc>
          <w:tcPr>
            <w:tcW w:w="4181" w:type="dxa"/>
          </w:tcPr>
          <w:p w:rsidR="006A261B" w:rsidRPr="00CC6D8E" w:rsidRDefault="0099008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05246" cy="1579068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135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840" cy="158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6A261B" w:rsidRPr="00CC6D8E" w:rsidRDefault="0099008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83981" cy="156324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2_13485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981" cy="156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5" w:rsidRPr="00CC6D8E" w:rsidTr="002E5CC4">
        <w:tc>
          <w:tcPr>
            <w:tcW w:w="4181" w:type="dxa"/>
          </w:tcPr>
          <w:p w:rsidR="00CD0355" w:rsidRPr="00CC6D8E" w:rsidRDefault="00E96CDE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藍芽擴音器運用於</w:t>
            </w:r>
            <w:r>
              <w:rPr>
                <w:rFonts w:ascii="標楷體" w:eastAsia="標楷體" w:hAnsi="標楷體" w:hint="eastAsia"/>
              </w:rPr>
              <w:t>每週一句教學</w:t>
            </w:r>
          </w:p>
        </w:tc>
        <w:tc>
          <w:tcPr>
            <w:tcW w:w="4182" w:type="dxa"/>
          </w:tcPr>
          <w:p w:rsidR="00CD0355" w:rsidRPr="00CC6D8E" w:rsidRDefault="00CA387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耳罩式耳機運用英聽教學</w:t>
            </w:r>
          </w:p>
        </w:tc>
      </w:tr>
    </w:tbl>
    <w:p w:rsidR="006D34E5" w:rsidRPr="00B81860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sectPr w:rsidR="006D34E5" w:rsidRPr="00B81860" w:rsidSect="00091C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12" w:rsidRDefault="00A51412" w:rsidP="00CE274D">
      <w:r>
        <w:separator/>
      </w:r>
    </w:p>
  </w:endnote>
  <w:endnote w:type="continuationSeparator" w:id="0">
    <w:p w:rsidR="00A51412" w:rsidRDefault="00A51412" w:rsidP="00C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12" w:rsidRDefault="00A51412" w:rsidP="00CE274D">
      <w:r>
        <w:separator/>
      </w:r>
    </w:p>
  </w:footnote>
  <w:footnote w:type="continuationSeparator" w:id="0">
    <w:p w:rsidR="00A51412" w:rsidRDefault="00A51412" w:rsidP="00CE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1C6F"/>
    <w:rsid w:val="000927A5"/>
    <w:rsid w:val="000A238C"/>
    <w:rsid w:val="000A276B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D3046"/>
    <w:rsid w:val="000F0F16"/>
    <w:rsid w:val="000F13CA"/>
    <w:rsid w:val="000F229B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4FB3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8734A"/>
    <w:rsid w:val="003963B7"/>
    <w:rsid w:val="00397E91"/>
    <w:rsid w:val="003B0794"/>
    <w:rsid w:val="003B0B36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33B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08C"/>
    <w:rsid w:val="009907DC"/>
    <w:rsid w:val="00991E92"/>
    <w:rsid w:val="00995DCB"/>
    <w:rsid w:val="0099663D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4D7D"/>
    <w:rsid w:val="00A15338"/>
    <w:rsid w:val="00A31DEC"/>
    <w:rsid w:val="00A36257"/>
    <w:rsid w:val="00A502AB"/>
    <w:rsid w:val="00A51412"/>
    <w:rsid w:val="00A534F4"/>
    <w:rsid w:val="00A5624D"/>
    <w:rsid w:val="00A56AB4"/>
    <w:rsid w:val="00A5752A"/>
    <w:rsid w:val="00A63FE0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073E"/>
    <w:rsid w:val="00B81860"/>
    <w:rsid w:val="00B824A2"/>
    <w:rsid w:val="00B8650B"/>
    <w:rsid w:val="00B91C0E"/>
    <w:rsid w:val="00B92AE1"/>
    <w:rsid w:val="00B94F94"/>
    <w:rsid w:val="00BB3598"/>
    <w:rsid w:val="00BD67E1"/>
    <w:rsid w:val="00BD6E48"/>
    <w:rsid w:val="00BE1A10"/>
    <w:rsid w:val="00BF47A7"/>
    <w:rsid w:val="00BF64DD"/>
    <w:rsid w:val="00BF6575"/>
    <w:rsid w:val="00C14475"/>
    <w:rsid w:val="00C17C12"/>
    <w:rsid w:val="00C26124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A3871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3B5B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703C5"/>
    <w:rsid w:val="00E81B6F"/>
    <w:rsid w:val="00E93814"/>
    <w:rsid w:val="00E945AF"/>
    <w:rsid w:val="00E96CDE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045B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99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99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99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99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877</Words>
  <Characters>145</Characters>
  <Application>Microsoft Office Word</Application>
  <DocSecurity>0</DocSecurity>
  <Lines>1</Lines>
  <Paragraphs>2</Paragraphs>
  <ScaleCrop>false</ScaleCrop>
  <Company>MOE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user</cp:lastModifiedBy>
  <cp:revision>15</cp:revision>
  <cp:lastPrinted>2012-07-24T03:49:00Z</cp:lastPrinted>
  <dcterms:created xsi:type="dcterms:W3CDTF">2021-04-09T02:14:00Z</dcterms:created>
  <dcterms:modified xsi:type="dcterms:W3CDTF">2021-04-17T02:09:00Z</dcterms:modified>
</cp:coreProperties>
</file>